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d5156"/>
          <w:sz w:val="21"/>
          <w:szCs w:val="21"/>
          <w:highlight w:val="white"/>
        </w:rPr>
      </w:pPr>
      <w:r w:rsidDel="00000000" w:rsidR="00000000" w:rsidRPr="00000000">
        <w:rPr>
          <w:b w:val="1"/>
          <w:color w:val="4d5156"/>
          <w:sz w:val="21"/>
          <w:szCs w:val="21"/>
          <w:highlight w:val="white"/>
          <w:rtl w:val="0"/>
        </w:rPr>
        <w:t xml:space="preserve">Avviso per Istituzioni che intendono attivare tirocini </w:t>
      </w:r>
    </w:p>
    <w:p w:rsidR="00000000" w:rsidDel="00000000" w:rsidP="00000000" w:rsidRDefault="00000000" w:rsidRPr="00000000" w14:paraId="00000002">
      <w:pPr>
        <w:jc w:val="center"/>
        <w:rPr>
          <w:b w:val="1"/>
          <w:color w:val="4d5156"/>
          <w:sz w:val="21"/>
          <w:szCs w:val="21"/>
          <w:highlight w:val="white"/>
        </w:rPr>
      </w:pPr>
      <w:r w:rsidDel="00000000" w:rsidR="00000000" w:rsidRPr="00000000">
        <w:rPr>
          <w:b w:val="1"/>
          <w:color w:val="4d5156"/>
          <w:sz w:val="21"/>
          <w:szCs w:val="21"/>
          <w:highlight w:val="white"/>
          <w:rtl w:val="0"/>
        </w:rPr>
        <w:t xml:space="preserve">con gli studenti iscritti ai Corsi di Laurea del Dipartimento di Matematica e Fisica</w:t>
      </w:r>
    </w:p>
    <w:p w:rsidR="00000000" w:rsidDel="00000000" w:rsidP="00000000" w:rsidRDefault="00000000" w:rsidRPr="00000000" w14:paraId="00000003">
      <w:pPr>
        <w:rPr>
          <w:color w:val="4d5156"/>
          <w:sz w:val="21"/>
          <w:szCs w:val="21"/>
          <w:highlight w:val="whit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Il </w:t>
      </w:r>
      <w:r w:rsidDel="00000000" w:rsidR="00000000" w:rsidRPr="00000000">
        <w:rPr>
          <w:color w:val="4d5156"/>
          <w:sz w:val="21"/>
          <w:szCs w:val="21"/>
          <w:highlight w:val="white"/>
          <w:rtl w:val="0"/>
        </w:rPr>
        <w:t xml:space="preserve">tirocinio</w:t>
      </w:r>
      <w:r w:rsidDel="00000000" w:rsidR="00000000" w:rsidRPr="00000000">
        <w:rPr>
          <w:color w:val="4d5156"/>
          <w:sz w:val="21"/>
          <w:szCs w:val="21"/>
          <w:highlight w:val="white"/>
          <w:rtl w:val="0"/>
        </w:rPr>
        <w:t xml:space="preserve"> è fondamentale nel processo di formazione dei futuri laureati.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Attraverso il tirocinio, infatti, lo studente è avviato alla professione e sviluppa uno spirito di iniziativa autonoma, sostenuto dalle attività svolte durante il percorso universitario.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rtl w:val="0"/>
        </w:rPr>
      </w:r>
    </w:p>
    <w:p w:rsidR="00000000" w:rsidDel="00000000" w:rsidP="00000000" w:rsidRDefault="00000000" w:rsidRPr="00000000" w14:paraId="00000007">
      <w:pPr>
        <w:jc w:val="both"/>
        <w:rPr>
          <w:color w:val="4d5156"/>
          <w:sz w:val="21"/>
          <w:szCs w:val="21"/>
          <w:highlight w:val="white"/>
        </w:rPr>
      </w:pPr>
      <w:r w:rsidDel="00000000" w:rsidR="00000000" w:rsidRPr="00000000">
        <w:rPr>
          <w:color w:val="4d5156"/>
          <w:sz w:val="21"/>
          <w:szCs w:val="21"/>
          <w:highlight w:val="white"/>
          <w:rtl w:val="0"/>
        </w:rPr>
        <w:t xml:space="preserve">Si sottolineano di seguito le principali caratteristiche dell’esperienza di tirocinio:</w:t>
      </w:r>
    </w:p>
    <w:p w:rsidR="00000000" w:rsidDel="00000000" w:rsidP="00000000" w:rsidRDefault="00000000" w:rsidRPr="00000000" w14:paraId="00000008">
      <w:pPr>
        <w:numPr>
          <w:ilvl w:val="0"/>
          <w:numId w:val="1"/>
        </w:numPr>
        <w:ind w:left="283.46456692913375"/>
        <w:jc w:val="both"/>
        <w:rPr>
          <w:color w:val="4d5156"/>
          <w:sz w:val="21"/>
          <w:szCs w:val="21"/>
          <w:highlight w:val="white"/>
        </w:rPr>
      </w:pPr>
      <w:r w:rsidDel="00000000" w:rsidR="00000000" w:rsidRPr="00000000">
        <w:rPr>
          <w:color w:val="4d5156"/>
          <w:sz w:val="21"/>
          <w:szCs w:val="21"/>
          <w:highlight w:val="white"/>
          <w:rtl w:val="0"/>
        </w:rPr>
        <w:t xml:space="preserve">si svolge durante la formazione e questo offre la possibilità sia di modulare gli obiettivi del tirocinio in relazione agli obiettivi degli insegnamenti dei corsi e dei laboratori, sia di agevolare l’interazione tra il mondo del lavoro e l’Università;</w:t>
      </w:r>
    </w:p>
    <w:p w:rsidR="00000000" w:rsidDel="00000000" w:rsidP="00000000" w:rsidRDefault="00000000" w:rsidRPr="00000000" w14:paraId="00000009">
      <w:pPr>
        <w:numPr>
          <w:ilvl w:val="0"/>
          <w:numId w:val="1"/>
        </w:numPr>
        <w:ind w:left="283.46456692913375"/>
        <w:jc w:val="both"/>
        <w:rPr>
          <w:color w:val="4d5156"/>
          <w:sz w:val="21"/>
          <w:szCs w:val="21"/>
          <w:highlight w:val="white"/>
        </w:rPr>
      </w:pPr>
      <w:r w:rsidDel="00000000" w:rsidR="00000000" w:rsidRPr="00000000">
        <w:rPr>
          <w:color w:val="4d5156"/>
          <w:sz w:val="21"/>
          <w:szCs w:val="21"/>
          <w:highlight w:val="white"/>
          <w:rtl w:val="0"/>
        </w:rPr>
        <w:t xml:space="preserve">assicura il passaggio progressivo da una fase prettamente di studio e di formazione ad una fase prevalentemente pratica e di riflessione sull’esperienza;</w:t>
      </w:r>
    </w:p>
    <w:p w:rsidR="00000000" w:rsidDel="00000000" w:rsidP="00000000" w:rsidRDefault="00000000" w:rsidRPr="00000000" w14:paraId="0000000A">
      <w:pPr>
        <w:numPr>
          <w:ilvl w:val="0"/>
          <w:numId w:val="1"/>
        </w:numPr>
        <w:ind w:left="283.46456692913375"/>
        <w:jc w:val="both"/>
        <w:rPr>
          <w:color w:val="4d5156"/>
          <w:sz w:val="21"/>
          <w:szCs w:val="21"/>
          <w:highlight w:val="white"/>
        </w:rPr>
      </w:pPr>
      <w:r w:rsidDel="00000000" w:rsidR="00000000" w:rsidRPr="00000000">
        <w:rPr>
          <w:color w:val="4d5156"/>
          <w:sz w:val="21"/>
          <w:szCs w:val="21"/>
          <w:highlight w:val="white"/>
          <w:rtl w:val="0"/>
        </w:rPr>
        <w:t xml:space="preserve">la presenza del tutor funge da collegamento e agevola il processo di apprendimento.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Il tirocinio quindi focalizza l’attenzione sull’apprendimento dall’esperienza e rappresenta l’anello di congiunzione fra Università e mondo del lavoro.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Si tratta di un’esperienza durante la quale si crea una forte interazione tra le conoscenze che si sono apprese durante la formazione, che si ha la possibilità di applicare nell’ambiente lavorativo, e le conoscenze e le abilità che si apprendono dall’esperienza e che poi si riportano nel percorso formativo universitario.</w:t>
      </w:r>
    </w:p>
    <w:p w:rsidR="00000000" w:rsidDel="00000000" w:rsidP="00000000" w:rsidRDefault="00000000" w:rsidRPr="00000000" w14:paraId="0000000E">
      <w:pPr>
        <w:jc w:val="both"/>
        <w:rPr>
          <w:color w:val="4d5156"/>
          <w:sz w:val="21"/>
          <w:szCs w:val="21"/>
          <w:highlight w:val="white"/>
        </w:rPr>
      </w:pPr>
      <w:r w:rsidDel="00000000" w:rsidR="00000000" w:rsidRPr="00000000">
        <w:rPr>
          <w:color w:val="4d5156"/>
          <w:sz w:val="21"/>
          <w:szCs w:val="21"/>
          <w:highlight w:val="white"/>
          <w:rtl w:val="0"/>
        </w:rPr>
        <w:t xml:space="preserve">Svolge anche una considerevole funzione di orientamento rispetto al mondo del lavoro, in quanto lo studente ha la possibilità di rendersi conto se la realizzazione pratica della professione che intende intraprendere corrisponde alle sue aspettative.</w:t>
      </w:r>
    </w:p>
    <w:p w:rsidR="00000000" w:rsidDel="00000000" w:rsidP="00000000" w:rsidRDefault="00000000" w:rsidRPr="00000000" w14:paraId="0000000F">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0">
      <w:pPr>
        <w:jc w:val="both"/>
        <w:rPr>
          <w:i w:val="1"/>
          <w:color w:val="4d5156"/>
          <w:sz w:val="21"/>
          <w:szCs w:val="21"/>
          <w:highlight w:val="white"/>
        </w:rPr>
      </w:pPr>
      <w:r w:rsidDel="00000000" w:rsidR="00000000" w:rsidRPr="00000000">
        <w:rPr>
          <w:i w:val="1"/>
          <w:color w:val="4d5156"/>
          <w:sz w:val="21"/>
          <w:szCs w:val="21"/>
          <w:highlight w:val="white"/>
          <w:rtl w:val="0"/>
        </w:rPr>
        <w:t xml:space="preserve">Per questo rivestono un ruolo fondamentale sia i contenuti, le conoscenze e le abilità che vanno appresi attraverso questa esperienza, sia il diario e la documentazione sull’esperienza stessa, che vanno intesi non come mero adempimento formale ma come strumenti per fare, riflettere e documentare quello che si è fatto.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All’indirizzo internet:</w:t>
      </w:r>
      <w:hyperlink r:id="rId6">
        <w:r w:rsidDel="00000000" w:rsidR="00000000" w:rsidRPr="00000000">
          <w:rPr>
            <w:color w:val="1155cc"/>
            <w:sz w:val="21"/>
            <w:szCs w:val="21"/>
            <w:highlight w:val="white"/>
            <w:u w:val="single"/>
            <w:rtl w:val="0"/>
          </w:rPr>
          <w:t xml:space="preserve"> https://www.scienzemfn.unisalento.it/stage_tirocini_info</w:t>
        </w:r>
      </w:hyperlink>
      <w:r w:rsidDel="00000000" w:rsidR="00000000" w:rsidRPr="00000000">
        <w:rPr>
          <w:color w:val="4d5156"/>
          <w:sz w:val="21"/>
          <w:szCs w:val="21"/>
          <w:highlight w:val="whit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è descritta la procedura per avviare il tirocinio e gli strumenti che sono utilizzati per la relativa rendicontazione.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4d5156"/>
          <w:sz w:val="21"/>
          <w:szCs w:val="21"/>
          <w:highlight w:val="white"/>
        </w:rPr>
      </w:pPr>
      <w:r w:rsidDel="00000000" w:rsidR="00000000" w:rsidRPr="00000000">
        <w:rPr>
          <w:color w:val="4d5156"/>
          <w:sz w:val="21"/>
          <w:szCs w:val="21"/>
          <w:highlight w:val="white"/>
          <w:rtl w:val="0"/>
        </w:rPr>
        <w:t xml:space="preserve">Cordiali saluti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d5156"/>
          <w:sz w:val="21"/>
          <w:szCs w:val="21"/>
          <w:highlight w:val="whit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color w:val="4d5156"/>
          <w:sz w:val="19"/>
          <w:szCs w:val="19"/>
          <w:highlight w:val="white"/>
          <w:rtl w:val="0"/>
        </w:rPr>
        <w:t xml:space="preserve">Libero adattamento - per approfondimenti: “Il tirocinio nella formazione dei futuri insegnanti - </w:t>
      </w:r>
      <w:r w:rsidDel="00000000" w:rsidR="00000000" w:rsidRPr="00000000">
        <w:rPr>
          <w:color w:val="4d5156"/>
          <w:sz w:val="19"/>
          <w:szCs w:val="19"/>
          <w:highlight w:val="white"/>
          <w:rtl w:val="0"/>
        </w:rPr>
        <w:t xml:space="preserve">Intervista a Eugenia Lodini - A cura di Bijoy M. Trentin e Emanuela De Luca”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ienzemfn.unisalento.it/stage_tirocini_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